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40" w:rsidRDefault="00413340" w:rsidP="002B4F17">
      <w:pPr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Public Health (</w:t>
      </w:r>
      <w:r w:rsidR="00565C21">
        <w:rPr>
          <w:rFonts w:ascii="Arial" w:hAnsi="Arial" w:cs="Arial"/>
          <w:bCs/>
          <w:spacing w:val="-3"/>
          <w:sz w:val="22"/>
          <w:szCs w:val="22"/>
        </w:rPr>
        <w:t>Childcare Vaccination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EA73E7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Amendment Bill 2015 amends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Public Health Act 2005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give the person in charge of an education and care service</w:t>
      </w:r>
      <w:r w:rsidR="00091534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91534">
        <w:rPr>
          <w:rFonts w:ascii="Arial" w:hAnsi="Arial" w:cs="Arial"/>
          <w:bCs/>
          <w:spacing w:val="-3"/>
          <w:sz w:val="22"/>
          <w:szCs w:val="22"/>
        </w:rPr>
        <w:t xml:space="preserve">approved under the Education and Care Services National Law (Queensland) or the </w:t>
      </w:r>
      <w:r w:rsidR="00091534" w:rsidRPr="004128C7">
        <w:rPr>
          <w:rFonts w:ascii="Arial" w:hAnsi="Arial" w:cs="Arial"/>
          <w:bCs/>
          <w:i/>
          <w:spacing w:val="-3"/>
          <w:sz w:val="22"/>
          <w:szCs w:val="22"/>
        </w:rPr>
        <w:t>Education and Care Services Act 2013</w:t>
      </w:r>
      <w:r w:rsidR="00091534">
        <w:rPr>
          <w:rFonts w:ascii="Arial" w:hAnsi="Arial" w:cs="Arial"/>
          <w:bCs/>
          <w:i/>
          <w:spacing w:val="-3"/>
          <w:sz w:val="22"/>
          <w:szCs w:val="22"/>
        </w:rPr>
        <w:t>,</w:t>
      </w:r>
      <w:r w:rsidR="000915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discretion to refuse enrolment </w:t>
      </w:r>
      <w:r w:rsidR="00091534">
        <w:rPr>
          <w:rFonts w:ascii="Arial" w:hAnsi="Arial" w:cs="Arial"/>
          <w:bCs/>
          <w:spacing w:val="-3"/>
          <w:sz w:val="22"/>
          <w:szCs w:val="22"/>
        </w:rPr>
        <w:t xml:space="preserve">and/or attendance </w:t>
      </w:r>
      <w:r>
        <w:rPr>
          <w:rFonts w:ascii="Arial" w:hAnsi="Arial" w:cs="Arial"/>
          <w:bCs/>
          <w:spacing w:val="-3"/>
          <w:sz w:val="22"/>
          <w:szCs w:val="22"/>
        </w:rPr>
        <w:t>of an unvaccinated child, unless the child:</w:t>
      </w:r>
    </w:p>
    <w:p w:rsidR="00413340" w:rsidRDefault="00413340" w:rsidP="00111163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a documented medical contraindication; or</w:t>
      </w:r>
    </w:p>
    <w:p w:rsidR="00413340" w:rsidRDefault="00413340" w:rsidP="00DA18CF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on a recognised catch-up schedule.</w:t>
      </w:r>
    </w:p>
    <w:p w:rsidR="00413340" w:rsidRDefault="00413340" w:rsidP="00DA18C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requires a parent or guardian of a child to provide proof of a child’s </w:t>
      </w:r>
      <w:r w:rsidR="006E41ED">
        <w:rPr>
          <w:rFonts w:ascii="Arial" w:hAnsi="Arial" w:cs="Arial"/>
          <w:bCs/>
          <w:spacing w:val="-3"/>
          <w:sz w:val="22"/>
          <w:szCs w:val="22"/>
        </w:rPr>
        <w:t xml:space="preserve">immunisation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status to a person in charge of an </w:t>
      </w:r>
      <w:r w:rsidR="00091534">
        <w:rPr>
          <w:rFonts w:ascii="Arial" w:hAnsi="Arial" w:cs="Arial"/>
          <w:bCs/>
          <w:spacing w:val="-3"/>
          <w:sz w:val="22"/>
          <w:szCs w:val="22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education and care service.  A person in charge of an </w:t>
      </w:r>
      <w:r w:rsidR="00091534">
        <w:rPr>
          <w:rFonts w:ascii="Arial" w:hAnsi="Arial" w:cs="Arial"/>
          <w:bCs/>
          <w:spacing w:val="-3"/>
          <w:sz w:val="22"/>
          <w:szCs w:val="22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education and care service will not be permitted to refuse enrolment to a child who has a medical contraindication to one or more vaccinations, or where a child is on a recognised catch up schedule.</w:t>
      </w:r>
    </w:p>
    <w:p w:rsidR="00413340" w:rsidRDefault="00413340" w:rsidP="00DA18C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person in charge of an </w:t>
      </w:r>
      <w:r w:rsidR="00091534">
        <w:rPr>
          <w:rFonts w:ascii="Arial" w:hAnsi="Arial" w:cs="Arial"/>
          <w:bCs/>
          <w:spacing w:val="-3"/>
          <w:sz w:val="22"/>
          <w:szCs w:val="22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education and care service will also be empowered to ask a parent of a child enrolled at the service to provide updated certification of the child’s immunisation status at key immunisation age milestones.  Where a parent of a child does not provide updated certification of their child’s immunisation status</w:t>
      </w:r>
      <w:r w:rsidR="006E41ED">
        <w:rPr>
          <w:rFonts w:ascii="Arial" w:hAnsi="Arial" w:cs="Arial"/>
          <w:bCs/>
          <w:spacing w:val="-3"/>
          <w:sz w:val="22"/>
          <w:szCs w:val="22"/>
        </w:rPr>
        <w:t xml:space="preserve"> within </w:t>
      </w:r>
      <w:r w:rsidR="00AF7A21">
        <w:rPr>
          <w:rFonts w:ascii="Arial" w:hAnsi="Arial" w:cs="Arial"/>
          <w:bCs/>
          <w:spacing w:val="-3"/>
          <w:sz w:val="22"/>
          <w:szCs w:val="22"/>
        </w:rPr>
        <w:t xml:space="preserve">at least </w:t>
      </w:r>
      <w:r w:rsidR="00C46E02">
        <w:rPr>
          <w:rFonts w:ascii="Arial" w:hAnsi="Arial" w:cs="Arial"/>
          <w:bCs/>
          <w:spacing w:val="-3"/>
          <w:sz w:val="22"/>
          <w:szCs w:val="22"/>
        </w:rPr>
        <w:t xml:space="preserve">four weeks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person in charge of the service may </w:t>
      </w:r>
      <w:r w:rsidR="006E41ED">
        <w:rPr>
          <w:rFonts w:ascii="Arial" w:hAnsi="Arial" w:cs="Arial"/>
          <w:bCs/>
          <w:spacing w:val="-3"/>
          <w:sz w:val="22"/>
          <w:szCs w:val="22"/>
        </w:rPr>
        <w:t xml:space="preserve">cancel the child’s enrolment or </w:t>
      </w:r>
      <w:r>
        <w:rPr>
          <w:rFonts w:ascii="Arial" w:hAnsi="Arial" w:cs="Arial"/>
          <w:bCs/>
          <w:spacing w:val="-3"/>
          <w:sz w:val="22"/>
          <w:szCs w:val="22"/>
        </w:rPr>
        <w:t>refuse to allow the child to attend the service.</w:t>
      </w:r>
    </w:p>
    <w:p w:rsidR="00413340" w:rsidRDefault="00782A2A" w:rsidP="00DA18C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amendments in the B</w:t>
      </w:r>
      <w:r w:rsidR="00413340">
        <w:rPr>
          <w:rFonts w:ascii="Arial" w:hAnsi="Arial" w:cs="Arial"/>
          <w:bCs/>
          <w:spacing w:val="-3"/>
          <w:sz w:val="22"/>
          <w:szCs w:val="22"/>
        </w:rPr>
        <w:t xml:space="preserve">ill will </w:t>
      </w:r>
      <w:r w:rsidR="00E54966">
        <w:rPr>
          <w:rFonts w:ascii="Arial" w:hAnsi="Arial" w:cs="Arial"/>
          <w:bCs/>
          <w:spacing w:val="-3"/>
          <w:sz w:val="22"/>
          <w:szCs w:val="22"/>
        </w:rPr>
        <w:t xml:space="preserve">promote vaccination and </w:t>
      </w:r>
      <w:r w:rsidR="00413340">
        <w:rPr>
          <w:rFonts w:ascii="Arial" w:hAnsi="Arial" w:cs="Arial"/>
          <w:bCs/>
          <w:spacing w:val="-3"/>
          <w:sz w:val="22"/>
          <w:szCs w:val="22"/>
        </w:rPr>
        <w:t xml:space="preserve">protect children and those people working at </w:t>
      </w:r>
      <w:r w:rsidR="00091534">
        <w:rPr>
          <w:rFonts w:ascii="Arial" w:hAnsi="Arial" w:cs="Arial"/>
          <w:bCs/>
          <w:spacing w:val="-3"/>
          <w:sz w:val="22"/>
          <w:szCs w:val="22"/>
        </w:rPr>
        <w:t>approved</w:t>
      </w:r>
      <w:r w:rsidR="00413340">
        <w:rPr>
          <w:rFonts w:ascii="Arial" w:hAnsi="Arial" w:cs="Arial"/>
          <w:bCs/>
          <w:spacing w:val="-3"/>
          <w:sz w:val="22"/>
          <w:szCs w:val="22"/>
        </w:rPr>
        <w:t xml:space="preserve"> education and care services from vaccine preventable diseases.</w:t>
      </w:r>
    </w:p>
    <w:p w:rsidR="003F2ED9" w:rsidRDefault="003F2ED9" w:rsidP="003F2ED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2ED9">
        <w:rPr>
          <w:rFonts w:ascii="Arial" w:hAnsi="Arial" w:cs="Arial"/>
          <w:bCs/>
          <w:spacing w:val="-3"/>
          <w:sz w:val="22"/>
          <w:szCs w:val="22"/>
        </w:rPr>
        <w:t xml:space="preserve">The Bill also contains an unrelated health legislation amendment.  The amendment, to the </w:t>
      </w:r>
      <w:r w:rsidRPr="003F2ED9">
        <w:rPr>
          <w:rFonts w:ascii="Arial" w:hAnsi="Arial" w:cs="Arial"/>
          <w:bCs/>
          <w:i/>
          <w:spacing w:val="-3"/>
          <w:sz w:val="22"/>
          <w:szCs w:val="22"/>
        </w:rPr>
        <w:t>Health Ombudsman Act 2013</w:t>
      </w:r>
      <w:r w:rsidR="008D67E2">
        <w:rPr>
          <w:rFonts w:ascii="Arial" w:hAnsi="Arial" w:cs="Arial"/>
          <w:bCs/>
          <w:spacing w:val="-3"/>
          <w:sz w:val="22"/>
          <w:szCs w:val="22"/>
        </w:rPr>
        <w:t>,</w:t>
      </w:r>
      <w:r w:rsidRPr="003F2ED9">
        <w:rPr>
          <w:rFonts w:ascii="Arial" w:hAnsi="Arial" w:cs="Arial"/>
          <w:bCs/>
          <w:spacing w:val="-3"/>
          <w:sz w:val="22"/>
          <w:szCs w:val="22"/>
        </w:rPr>
        <w:t xml:space="preserve"> is urgently required to ensure the Health Ombudsman is empowered to undertake necessary public investigations into serious healthcare complaints.  </w:t>
      </w:r>
    </w:p>
    <w:p w:rsidR="003F2ED9" w:rsidRDefault="003F2ED9" w:rsidP="003F2ED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2ED9">
        <w:rPr>
          <w:rFonts w:ascii="Arial" w:hAnsi="Arial" w:cs="Arial"/>
          <w:bCs/>
          <w:spacing w:val="-3"/>
          <w:sz w:val="22"/>
          <w:szCs w:val="22"/>
        </w:rPr>
        <w:t>The amendment effectively clarifies an existing power to require a person to provide ‘information’ in the course of an investigation, by specifically empowering the Ombudsman to compel a person to attend and answer questions.</w:t>
      </w:r>
    </w:p>
    <w:p w:rsidR="00204E44" w:rsidRPr="00DA18CF" w:rsidRDefault="00204E44" w:rsidP="00204E44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4E44">
        <w:rPr>
          <w:rFonts w:ascii="Arial" w:hAnsi="Arial" w:cs="Arial"/>
          <w:bCs/>
          <w:spacing w:val="-3"/>
          <w:sz w:val="22"/>
          <w:szCs w:val="22"/>
        </w:rPr>
        <w:t xml:space="preserve">However, the existing right of a person to refuse to answer questions on the ground of self-incrimination has not changed.  </w:t>
      </w:r>
    </w:p>
    <w:p w:rsidR="00413340" w:rsidRPr="00CE6FBA" w:rsidRDefault="00413340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8D67E2">
        <w:rPr>
          <w:rFonts w:ascii="Arial" w:hAnsi="Arial" w:cs="Arial"/>
          <w:sz w:val="22"/>
          <w:szCs w:val="22"/>
        </w:rPr>
        <w:t xml:space="preserve">Public Health (Childcare Vaccination) Amendment Bill 2015 </w:t>
      </w:r>
      <w:r>
        <w:rPr>
          <w:rFonts w:ascii="Arial" w:hAnsi="Arial" w:cs="Arial"/>
          <w:sz w:val="22"/>
          <w:szCs w:val="22"/>
        </w:rPr>
        <w:t>into the Legislative Assembly.</w:t>
      </w:r>
    </w:p>
    <w:p w:rsidR="00413340" w:rsidRPr="00C07656" w:rsidRDefault="00413340" w:rsidP="00F002B7">
      <w:pPr>
        <w:jc w:val="both"/>
        <w:rPr>
          <w:rFonts w:ascii="Arial" w:hAnsi="Arial" w:cs="Arial"/>
          <w:sz w:val="22"/>
          <w:szCs w:val="22"/>
        </w:rPr>
      </w:pPr>
    </w:p>
    <w:p w:rsidR="00413340" w:rsidRPr="00F002B7" w:rsidRDefault="00413340" w:rsidP="00257CC2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B6B9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13340" w:rsidRDefault="00A64411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13340" w:rsidRPr="008D67E2">
          <w:rPr>
            <w:rStyle w:val="Hyperlink"/>
            <w:rFonts w:ascii="Arial" w:hAnsi="Arial" w:cs="Arial"/>
            <w:sz w:val="22"/>
            <w:szCs w:val="22"/>
          </w:rPr>
          <w:t>Public Health (</w:t>
        </w:r>
        <w:r w:rsidR="00565C21" w:rsidRPr="008D67E2">
          <w:rPr>
            <w:rStyle w:val="Hyperlink"/>
            <w:rFonts w:ascii="Arial" w:hAnsi="Arial" w:cs="Arial"/>
            <w:sz w:val="22"/>
            <w:szCs w:val="22"/>
          </w:rPr>
          <w:t>Childcare Vaccination</w:t>
        </w:r>
        <w:r w:rsidR="00413340" w:rsidRPr="008D67E2">
          <w:rPr>
            <w:rStyle w:val="Hyperlink"/>
            <w:rFonts w:ascii="Arial" w:hAnsi="Arial" w:cs="Arial"/>
            <w:sz w:val="22"/>
            <w:szCs w:val="22"/>
          </w:rPr>
          <w:t>) Amendment Bill 2015</w:t>
        </w:r>
      </w:hyperlink>
    </w:p>
    <w:p w:rsidR="00413340" w:rsidRPr="00257CC2" w:rsidRDefault="00A64411" w:rsidP="00257CC2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8D67E2" w:rsidRPr="008D67E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8D67E2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8D67E2" w:rsidRPr="008D67E2">
          <w:rPr>
            <w:rStyle w:val="Hyperlink"/>
            <w:rFonts w:ascii="Arial" w:hAnsi="Arial" w:cs="Arial"/>
            <w:sz w:val="22"/>
            <w:szCs w:val="22"/>
          </w:rPr>
          <w:t>Explanatory Notes Erratum</w:t>
        </w:r>
      </w:hyperlink>
    </w:p>
    <w:sectPr w:rsidR="00413340" w:rsidRPr="00257CC2" w:rsidSect="004B6B9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A3" w:rsidRDefault="009651A3">
      <w:r>
        <w:separator/>
      </w:r>
    </w:p>
  </w:endnote>
  <w:endnote w:type="continuationSeparator" w:id="0">
    <w:p w:rsidR="009651A3" w:rsidRDefault="0096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A3" w:rsidRDefault="009651A3">
      <w:r>
        <w:separator/>
      </w:r>
    </w:p>
  </w:footnote>
  <w:footnote w:type="continuationSeparator" w:id="0">
    <w:p w:rsidR="009651A3" w:rsidRDefault="00965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40" w:rsidRPr="00D75134" w:rsidRDefault="00413340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413340" w:rsidRPr="00D75134" w:rsidRDefault="00413340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13340" w:rsidRPr="001E209B" w:rsidRDefault="00413340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091534">
      <w:rPr>
        <w:rFonts w:ascii="Arial" w:hAnsi="Arial" w:cs="Arial"/>
        <w:b/>
        <w:sz w:val="22"/>
        <w:szCs w:val="22"/>
      </w:rPr>
      <w:t xml:space="preserve">July </w:t>
    </w:r>
    <w:r>
      <w:rPr>
        <w:rFonts w:ascii="Arial" w:hAnsi="Arial" w:cs="Arial"/>
        <w:b/>
        <w:sz w:val="22"/>
        <w:szCs w:val="22"/>
      </w:rPr>
      <w:t>201</w:t>
    </w:r>
    <w:r w:rsidR="00091534">
      <w:rPr>
        <w:rFonts w:ascii="Arial" w:hAnsi="Arial" w:cs="Arial"/>
        <w:b/>
        <w:sz w:val="22"/>
        <w:szCs w:val="22"/>
      </w:rPr>
      <w:t>5</w:t>
    </w:r>
  </w:p>
  <w:p w:rsidR="00413340" w:rsidRDefault="00413340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Public Health (</w:t>
    </w:r>
    <w:r w:rsidR="00565C21">
      <w:rPr>
        <w:rFonts w:ascii="Arial" w:hAnsi="Arial" w:cs="Arial"/>
        <w:b/>
        <w:sz w:val="22"/>
        <w:szCs w:val="22"/>
        <w:u w:val="single"/>
      </w:rPr>
      <w:t>Childcare Vaccination</w:t>
    </w:r>
    <w:r>
      <w:rPr>
        <w:rFonts w:ascii="Arial" w:hAnsi="Arial" w:cs="Arial"/>
        <w:b/>
        <w:sz w:val="22"/>
        <w:szCs w:val="22"/>
        <w:u w:val="single"/>
      </w:rPr>
      <w:t xml:space="preserve">) </w:t>
    </w:r>
    <w:r w:rsidR="00EA73E7">
      <w:rPr>
        <w:rFonts w:ascii="Arial" w:hAnsi="Arial" w:cs="Arial"/>
        <w:b/>
        <w:sz w:val="22"/>
        <w:szCs w:val="22"/>
        <w:u w:val="single"/>
      </w:rPr>
      <w:t xml:space="preserve">and Other Legislation </w:t>
    </w:r>
    <w:r>
      <w:rPr>
        <w:rFonts w:ascii="Arial" w:hAnsi="Arial" w:cs="Arial"/>
        <w:b/>
        <w:sz w:val="22"/>
        <w:szCs w:val="22"/>
        <w:u w:val="single"/>
      </w:rPr>
      <w:t>Amendment Bill 2015</w:t>
    </w:r>
  </w:p>
  <w:p w:rsidR="00413340" w:rsidRDefault="00413340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3B7C1E" w:rsidRDefault="003B7C1E" w:rsidP="00257CC2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Tourism, Major Events, Small Business and the Commonwealth Games</w:t>
    </w:r>
  </w:p>
  <w:p w:rsidR="00413340" w:rsidRDefault="00413340" w:rsidP="00135D6D">
    <w:pPr>
      <w:pStyle w:val="Header"/>
      <w:pBdr>
        <w:bottom w:val="single" w:sz="4" w:space="1" w:color="auto"/>
      </w:pBdr>
    </w:pPr>
  </w:p>
  <w:p w:rsidR="00413340" w:rsidRPr="00135D6D" w:rsidRDefault="00413340" w:rsidP="00135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0B0AD7"/>
    <w:multiLevelType w:val="hybridMultilevel"/>
    <w:tmpl w:val="1BB6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5130200"/>
    <w:multiLevelType w:val="hybridMultilevel"/>
    <w:tmpl w:val="DC4AC384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16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1"/>
  </w:num>
  <w:num w:numId="4">
    <w:abstractNumId w:val="15"/>
  </w:num>
  <w:num w:numId="5">
    <w:abstractNumId w:val="3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20"/>
  </w:num>
  <w:num w:numId="14">
    <w:abstractNumId w:val="5"/>
  </w:num>
  <w:num w:numId="15">
    <w:abstractNumId w:val="4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23"/>
  </w:num>
  <w:num w:numId="21">
    <w:abstractNumId w:val="2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014AB8"/>
    <w:rsid w:val="00021188"/>
    <w:rsid w:val="00027113"/>
    <w:rsid w:val="00035705"/>
    <w:rsid w:val="000400F9"/>
    <w:rsid w:val="00041A0F"/>
    <w:rsid w:val="000430DD"/>
    <w:rsid w:val="000526D3"/>
    <w:rsid w:val="000624C5"/>
    <w:rsid w:val="00066D93"/>
    <w:rsid w:val="00070A40"/>
    <w:rsid w:val="00091534"/>
    <w:rsid w:val="000924FD"/>
    <w:rsid w:val="0009634A"/>
    <w:rsid w:val="000A1D7D"/>
    <w:rsid w:val="000A2BAC"/>
    <w:rsid w:val="000A6E5D"/>
    <w:rsid w:val="000C15F5"/>
    <w:rsid w:val="000C2437"/>
    <w:rsid w:val="000C75B3"/>
    <w:rsid w:val="000C7639"/>
    <w:rsid w:val="000D05D6"/>
    <w:rsid w:val="000E3F6A"/>
    <w:rsid w:val="000F0DB5"/>
    <w:rsid w:val="000F21F9"/>
    <w:rsid w:val="000F680A"/>
    <w:rsid w:val="001010F3"/>
    <w:rsid w:val="00101D67"/>
    <w:rsid w:val="00111163"/>
    <w:rsid w:val="001141E1"/>
    <w:rsid w:val="001227DD"/>
    <w:rsid w:val="00123E0E"/>
    <w:rsid w:val="00124FE2"/>
    <w:rsid w:val="00126CC9"/>
    <w:rsid w:val="001324BE"/>
    <w:rsid w:val="00135D6D"/>
    <w:rsid w:val="001376CE"/>
    <w:rsid w:val="00140936"/>
    <w:rsid w:val="001417E5"/>
    <w:rsid w:val="00144370"/>
    <w:rsid w:val="00144862"/>
    <w:rsid w:val="0014649D"/>
    <w:rsid w:val="001515EC"/>
    <w:rsid w:val="00154C68"/>
    <w:rsid w:val="0015685D"/>
    <w:rsid w:val="00156C19"/>
    <w:rsid w:val="001622E3"/>
    <w:rsid w:val="0016461A"/>
    <w:rsid w:val="0017740C"/>
    <w:rsid w:val="0017782F"/>
    <w:rsid w:val="00182E54"/>
    <w:rsid w:val="00190C8E"/>
    <w:rsid w:val="001B5837"/>
    <w:rsid w:val="001C350C"/>
    <w:rsid w:val="001D5A2D"/>
    <w:rsid w:val="001D5F1F"/>
    <w:rsid w:val="001E209B"/>
    <w:rsid w:val="001E5583"/>
    <w:rsid w:val="001E6C9A"/>
    <w:rsid w:val="002049D0"/>
    <w:rsid w:val="00204E44"/>
    <w:rsid w:val="002076A3"/>
    <w:rsid w:val="0021344B"/>
    <w:rsid w:val="00216296"/>
    <w:rsid w:val="002266A8"/>
    <w:rsid w:val="00227D1E"/>
    <w:rsid w:val="00240160"/>
    <w:rsid w:val="00242B09"/>
    <w:rsid w:val="00255A00"/>
    <w:rsid w:val="00257CC2"/>
    <w:rsid w:val="00273B58"/>
    <w:rsid w:val="00283BBB"/>
    <w:rsid w:val="00294F96"/>
    <w:rsid w:val="002971C2"/>
    <w:rsid w:val="002A6FC7"/>
    <w:rsid w:val="002B4F17"/>
    <w:rsid w:val="002B5574"/>
    <w:rsid w:val="002C07C8"/>
    <w:rsid w:val="002C29EC"/>
    <w:rsid w:val="002E58D6"/>
    <w:rsid w:val="002E5AA0"/>
    <w:rsid w:val="002F7590"/>
    <w:rsid w:val="003024B9"/>
    <w:rsid w:val="00311EA9"/>
    <w:rsid w:val="0031208A"/>
    <w:rsid w:val="0032140C"/>
    <w:rsid w:val="003243E0"/>
    <w:rsid w:val="00330878"/>
    <w:rsid w:val="0033391A"/>
    <w:rsid w:val="00340EF2"/>
    <w:rsid w:val="00355608"/>
    <w:rsid w:val="003737C1"/>
    <w:rsid w:val="003823CE"/>
    <w:rsid w:val="00391750"/>
    <w:rsid w:val="003927E5"/>
    <w:rsid w:val="003A4AA8"/>
    <w:rsid w:val="003B094B"/>
    <w:rsid w:val="003B5871"/>
    <w:rsid w:val="003B7C1E"/>
    <w:rsid w:val="003C5050"/>
    <w:rsid w:val="003C71CD"/>
    <w:rsid w:val="003D2408"/>
    <w:rsid w:val="003E2D89"/>
    <w:rsid w:val="003F2ED9"/>
    <w:rsid w:val="004128C7"/>
    <w:rsid w:val="00412A34"/>
    <w:rsid w:val="00413340"/>
    <w:rsid w:val="004149B9"/>
    <w:rsid w:val="00426D0F"/>
    <w:rsid w:val="0044424E"/>
    <w:rsid w:val="00444DCF"/>
    <w:rsid w:val="00456AEE"/>
    <w:rsid w:val="00464036"/>
    <w:rsid w:val="00476361"/>
    <w:rsid w:val="00476A64"/>
    <w:rsid w:val="004B6B9B"/>
    <w:rsid w:val="004B6BEE"/>
    <w:rsid w:val="004B751F"/>
    <w:rsid w:val="004C5933"/>
    <w:rsid w:val="004C5941"/>
    <w:rsid w:val="004C65A5"/>
    <w:rsid w:val="004C6C8E"/>
    <w:rsid w:val="004D201D"/>
    <w:rsid w:val="004D7050"/>
    <w:rsid w:val="004E3AE1"/>
    <w:rsid w:val="004E3BC5"/>
    <w:rsid w:val="004E501D"/>
    <w:rsid w:val="004F0CB6"/>
    <w:rsid w:val="0052050A"/>
    <w:rsid w:val="00527730"/>
    <w:rsid w:val="005425AB"/>
    <w:rsid w:val="005577AB"/>
    <w:rsid w:val="00565C21"/>
    <w:rsid w:val="00583FC7"/>
    <w:rsid w:val="005B20E0"/>
    <w:rsid w:val="005D5BB9"/>
    <w:rsid w:val="005E428B"/>
    <w:rsid w:val="005E62CC"/>
    <w:rsid w:val="005E7616"/>
    <w:rsid w:val="005E7C61"/>
    <w:rsid w:val="00635DE2"/>
    <w:rsid w:val="0064268C"/>
    <w:rsid w:val="00656393"/>
    <w:rsid w:val="006570C4"/>
    <w:rsid w:val="0066340C"/>
    <w:rsid w:val="0066421E"/>
    <w:rsid w:val="00667828"/>
    <w:rsid w:val="0067667D"/>
    <w:rsid w:val="006974DA"/>
    <w:rsid w:val="006B08C4"/>
    <w:rsid w:val="006B4C11"/>
    <w:rsid w:val="006E25A6"/>
    <w:rsid w:val="006E41ED"/>
    <w:rsid w:val="006F4423"/>
    <w:rsid w:val="006F7B5F"/>
    <w:rsid w:val="007050E6"/>
    <w:rsid w:val="00742804"/>
    <w:rsid w:val="00745F4C"/>
    <w:rsid w:val="00761EEB"/>
    <w:rsid w:val="007653EB"/>
    <w:rsid w:val="00782539"/>
    <w:rsid w:val="00782A2A"/>
    <w:rsid w:val="0078430B"/>
    <w:rsid w:val="0079498D"/>
    <w:rsid w:val="00795162"/>
    <w:rsid w:val="007A0D8E"/>
    <w:rsid w:val="007B178B"/>
    <w:rsid w:val="007B6771"/>
    <w:rsid w:val="007C5B4B"/>
    <w:rsid w:val="007C6505"/>
    <w:rsid w:val="007D5103"/>
    <w:rsid w:val="007D5192"/>
    <w:rsid w:val="007F46E4"/>
    <w:rsid w:val="00800574"/>
    <w:rsid w:val="00814561"/>
    <w:rsid w:val="00827746"/>
    <w:rsid w:val="00832489"/>
    <w:rsid w:val="00834946"/>
    <w:rsid w:val="00842FBD"/>
    <w:rsid w:val="00862C15"/>
    <w:rsid w:val="00867427"/>
    <w:rsid w:val="00870321"/>
    <w:rsid w:val="0087095C"/>
    <w:rsid w:val="0087449A"/>
    <w:rsid w:val="00895B1C"/>
    <w:rsid w:val="008A3F6F"/>
    <w:rsid w:val="008A4523"/>
    <w:rsid w:val="008B6086"/>
    <w:rsid w:val="008D67E2"/>
    <w:rsid w:val="008E421C"/>
    <w:rsid w:val="008F44CD"/>
    <w:rsid w:val="0090137E"/>
    <w:rsid w:val="0090282F"/>
    <w:rsid w:val="00903510"/>
    <w:rsid w:val="00910375"/>
    <w:rsid w:val="00911F6B"/>
    <w:rsid w:val="00915B8A"/>
    <w:rsid w:val="009175A7"/>
    <w:rsid w:val="00930537"/>
    <w:rsid w:val="00932FA5"/>
    <w:rsid w:val="009330C7"/>
    <w:rsid w:val="009342A1"/>
    <w:rsid w:val="00934403"/>
    <w:rsid w:val="009451C7"/>
    <w:rsid w:val="0094685D"/>
    <w:rsid w:val="0095036A"/>
    <w:rsid w:val="009519BB"/>
    <w:rsid w:val="009551A2"/>
    <w:rsid w:val="009566B7"/>
    <w:rsid w:val="0096001A"/>
    <w:rsid w:val="00964A2F"/>
    <w:rsid w:val="009651A3"/>
    <w:rsid w:val="009653D1"/>
    <w:rsid w:val="009A3B69"/>
    <w:rsid w:val="009D3131"/>
    <w:rsid w:val="009E1AD3"/>
    <w:rsid w:val="009E4DC1"/>
    <w:rsid w:val="009F2656"/>
    <w:rsid w:val="009F4298"/>
    <w:rsid w:val="009F5F9B"/>
    <w:rsid w:val="00A06381"/>
    <w:rsid w:val="00A1274B"/>
    <w:rsid w:val="00A159BA"/>
    <w:rsid w:val="00A17ED0"/>
    <w:rsid w:val="00A369DE"/>
    <w:rsid w:val="00A41443"/>
    <w:rsid w:val="00A45816"/>
    <w:rsid w:val="00A527A5"/>
    <w:rsid w:val="00A64411"/>
    <w:rsid w:val="00A67675"/>
    <w:rsid w:val="00A70444"/>
    <w:rsid w:val="00A72BCB"/>
    <w:rsid w:val="00A75633"/>
    <w:rsid w:val="00A963DE"/>
    <w:rsid w:val="00AA62F2"/>
    <w:rsid w:val="00AB5421"/>
    <w:rsid w:val="00AB6F21"/>
    <w:rsid w:val="00AC7559"/>
    <w:rsid w:val="00AD032E"/>
    <w:rsid w:val="00AD6552"/>
    <w:rsid w:val="00AF610D"/>
    <w:rsid w:val="00AF7A21"/>
    <w:rsid w:val="00B0525E"/>
    <w:rsid w:val="00B2374C"/>
    <w:rsid w:val="00B35060"/>
    <w:rsid w:val="00B377F3"/>
    <w:rsid w:val="00B605B9"/>
    <w:rsid w:val="00B60F74"/>
    <w:rsid w:val="00B73CA4"/>
    <w:rsid w:val="00B861ED"/>
    <w:rsid w:val="00B958E7"/>
    <w:rsid w:val="00B97FB4"/>
    <w:rsid w:val="00BA143E"/>
    <w:rsid w:val="00BB1AFC"/>
    <w:rsid w:val="00BB5314"/>
    <w:rsid w:val="00BC21AA"/>
    <w:rsid w:val="00BD5C1A"/>
    <w:rsid w:val="00BD7E0D"/>
    <w:rsid w:val="00BE1E29"/>
    <w:rsid w:val="00BE346E"/>
    <w:rsid w:val="00BE5B84"/>
    <w:rsid w:val="00BF35DF"/>
    <w:rsid w:val="00BF46CA"/>
    <w:rsid w:val="00C03AD8"/>
    <w:rsid w:val="00C0535B"/>
    <w:rsid w:val="00C07656"/>
    <w:rsid w:val="00C14FB2"/>
    <w:rsid w:val="00C16E01"/>
    <w:rsid w:val="00C17E3B"/>
    <w:rsid w:val="00C30A86"/>
    <w:rsid w:val="00C31326"/>
    <w:rsid w:val="00C44A05"/>
    <w:rsid w:val="00C46E02"/>
    <w:rsid w:val="00C51F18"/>
    <w:rsid w:val="00C62E9C"/>
    <w:rsid w:val="00C71195"/>
    <w:rsid w:val="00C84211"/>
    <w:rsid w:val="00C91283"/>
    <w:rsid w:val="00C919E8"/>
    <w:rsid w:val="00CA355F"/>
    <w:rsid w:val="00CA3EEB"/>
    <w:rsid w:val="00CB3CF8"/>
    <w:rsid w:val="00CB44E7"/>
    <w:rsid w:val="00CC0A18"/>
    <w:rsid w:val="00CC63BB"/>
    <w:rsid w:val="00CD2E02"/>
    <w:rsid w:val="00CD5139"/>
    <w:rsid w:val="00CE6FBA"/>
    <w:rsid w:val="00CF16CB"/>
    <w:rsid w:val="00D003E7"/>
    <w:rsid w:val="00D5111A"/>
    <w:rsid w:val="00D6489A"/>
    <w:rsid w:val="00D71185"/>
    <w:rsid w:val="00D740A8"/>
    <w:rsid w:val="00D7440B"/>
    <w:rsid w:val="00D75121"/>
    <w:rsid w:val="00D75134"/>
    <w:rsid w:val="00D82051"/>
    <w:rsid w:val="00D829C6"/>
    <w:rsid w:val="00D84B5E"/>
    <w:rsid w:val="00D91EA6"/>
    <w:rsid w:val="00D96412"/>
    <w:rsid w:val="00DA18CF"/>
    <w:rsid w:val="00DA4D47"/>
    <w:rsid w:val="00DA6C5D"/>
    <w:rsid w:val="00DB1B46"/>
    <w:rsid w:val="00DB6FE7"/>
    <w:rsid w:val="00DD06E1"/>
    <w:rsid w:val="00DD1780"/>
    <w:rsid w:val="00DD6BA7"/>
    <w:rsid w:val="00DE2A72"/>
    <w:rsid w:val="00DE61EC"/>
    <w:rsid w:val="00DE73D5"/>
    <w:rsid w:val="00DF08D6"/>
    <w:rsid w:val="00DF2E2C"/>
    <w:rsid w:val="00DF69A7"/>
    <w:rsid w:val="00E06DFB"/>
    <w:rsid w:val="00E11CCA"/>
    <w:rsid w:val="00E129B6"/>
    <w:rsid w:val="00E317C3"/>
    <w:rsid w:val="00E34327"/>
    <w:rsid w:val="00E464DD"/>
    <w:rsid w:val="00E47F1D"/>
    <w:rsid w:val="00E539DE"/>
    <w:rsid w:val="00E54966"/>
    <w:rsid w:val="00E814F1"/>
    <w:rsid w:val="00E836BF"/>
    <w:rsid w:val="00E84E0F"/>
    <w:rsid w:val="00EA73E7"/>
    <w:rsid w:val="00EB074A"/>
    <w:rsid w:val="00EC026F"/>
    <w:rsid w:val="00EC0396"/>
    <w:rsid w:val="00EC3D68"/>
    <w:rsid w:val="00EC789A"/>
    <w:rsid w:val="00ED29FB"/>
    <w:rsid w:val="00ED7DA6"/>
    <w:rsid w:val="00EE23E9"/>
    <w:rsid w:val="00EE25B4"/>
    <w:rsid w:val="00EF6F0B"/>
    <w:rsid w:val="00F002B7"/>
    <w:rsid w:val="00F023B9"/>
    <w:rsid w:val="00F031F4"/>
    <w:rsid w:val="00F035B2"/>
    <w:rsid w:val="00F04337"/>
    <w:rsid w:val="00F054DB"/>
    <w:rsid w:val="00F10DF9"/>
    <w:rsid w:val="00F25FA5"/>
    <w:rsid w:val="00F333F5"/>
    <w:rsid w:val="00F40434"/>
    <w:rsid w:val="00F470A4"/>
    <w:rsid w:val="00F515D3"/>
    <w:rsid w:val="00F561A5"/>
    <w:rsid w:val="00F679C1"/>
    <w:rsid w:val="00F80EC3"/>
    <w:rsid w:val="00F822D6"/>
    <w:rsid w:val="00F84EFB"/>
    <w:rsid w:val="00F93C82"/>
    <w:rsid w:val="00F94E2B"/>
    <w:rsid w:val="00F96D52"/>
    <w:rsid w:val="00FA33B7"/>
    <w:rsid w:val="00FB34E3"/>
    <w:rsid w:val="00FD266D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sid w:val="00227D1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ExNotesErratu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2046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2426</CharactersWithSpaces>
  <SharedDoc>false</SharedDoc>
  <HyperlinkBase>https://www.cabinet.qld.gov.au/documents/2015/Jul/VaccBill/</HyperlinkBase>
  <HLinks>
    <vt:vector size="18" baseType="variant">
      <vt:variant>
        <vt:i4>2687014</vt:i4>
      </vt:variant>
      <vt:variant>
        <vt:i4>6</vt:i4>
      </vt:variant>
      <vt:variant>
        <vt:i4>0</vt:i4>
      </vt:variant>
      <vt:variant>
        <vt:i4>5</vt:i4>
      </vt:variant>
      <vt:variant>
        <vt:lpwstr>Attachments/ExNotesErratum.PDF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2015-07-08T23:39:00Z</cp:lastPrinted>
  <dcterms:created xsi:type="dcterms:W3CDTF">2017-10-25T01:32:00Z</dcterms:created>
  <dcterms:modified xsi:type="dcterms:W3CDTF">2018-03-06T01:28:00Z</dcterms:modified>
  <cp:category>Health,Children,Legislation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